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after="0" w:before="0" w:line="240" w:lineRule="auto"/>
      </w:pPr>
      <w:r>
        <w:rPr>
          <w:rFonts w:ascii="맑은 고딕" w:eastAsia="맑은 고딕" w:hAnsi="맑은 고딕" w:cs="맑은 고딕"/>
          <w:b/>
          <w:bCs/>
          <w:color w:val="1F3350"/>
          <w:sz w:val="39"/>
          <w:szCs w:val="39"/>
        </w:rPr>
        <w:t>문항 출제 방식 분석</w:t>
      </w:r>
    </w:p>
    <w:p>
      <w:pPr>
        <w:tabs>
          <w:tab w:val="right" w:pos="10430"/>
        </w:tabs>
        <w:spacing w:after="0" w:before="100" w:line="240" w:lineRule="auto"/>
      </w:pPr>
      <w:r>
        <w:rPr>
          <w:rFonts w:ascii="맑은 고딕" w:eastAsia="맑은 고딕" w:hAnsi="맑은 고딕" w:cs="맑은 고딕"/>
          <w:b w:val="0"/>
          <w:bCs w:val="0"/>
          <w:color w:val="5B6274"/>
          <w:sz w:val="17"/>
          <w:szCs w:val="17"/>
        </w:rPr>
        <w:t>2026학년도 2학기 1차 정기시험 · 죽전고등학교 2학년 화법과 언어</w:t>
      </w:r>
      <w:r>
        <w:tab/>
      </w:r>
      <w:r>
        <w:rPr>
          <w:rFonts w:ascii="맑은 고딕" w:eastAsia="맑은 고딕" w:hAnsi="맑은 고딕" w:cs="맑은 고딕"/>
          <w:b/>
          <w:bCs/>
          <w:color w:val="1F3350"/>
          <w:sz w:val="18"/>
          <w:szCs w:val="18"/>
        </w:rPr>
        <w:t>명인학원</w:t>
      </w:r>
    </w:p>
    <w:p>
      <w:pPr>
        <w:pBdr>
          <w:bottom w:val="single" w:sz="18" w:space="1" w:color="1F3350"/>
        </w:pBdr>
        <w:spacing w:after="0" w:before="90" w:line="240" w:lineRule="auto"/>
      </w:pPr>
    </w:p>
    <w:p>
      <w:pPr>
        <w:spacing w:after="0" w:before="0" w:line="240" w:lineRule="auto"/>
      </w:pPr>
    </w:p>
    <w:tbl>
      <w:tblPr>
        <w:tblW w:w="10430" w:type="dxa"/>
        <w:tblBorders>
          <w:top w:val="none"/>
          <w:left w:val="none"/>
          <w:bottom w:val="none"/>
          <w:right w:val="none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6"/>
        <w:gridCol w:w="2086"/>
        <w:gridCol w:w="2086"/>
        <w:gridCol w:w="2086"/>
        <w:gridCol w:w="2086"/>
      </w:tblGrid>
      <w:tr>
        <w:tc>
          <w:tcPr>
            <w:tcW w:w="2086" w:type="dxa"/>
            <w:tcBorders>
              <w:top w:val="single" w:sz="12" w:space="0" w:color="1F3350"/>
              <w:left w:val="single" w:sz="6" w:space="0" w:color="FFFFFF"/>
              <w:bottom w:val="none"/>
              <w:right w:val="single" w:sz="6" w:space="0" w:color="FFFFFF"/>
            </w:tcBorders>
            <w:shd w:val="clear" w:color="auto" w:fill="F4F5F8"/>
            <w:tcMar>
              <w:top w:w="110" w:type="dxa"/>
              <w:left w:w="130" w:type="dxa"/>
              <w:bottom w:w="120" w:type="dxa"/>
              <w:right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5B6274"/>
                <w:sz w:val="13"/>
                <w:szCs w:val="13"/>
              </w:rPr>
              <w:t>문항 구성</w:t>
            </w:r>
          </w:p>
          <w:p>
            <w:pPr>
              <w:spacing w:after="0" w:before="4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>선택형 23문항</w:t>
            </w:r>
          </w:p>
          <w:p>
            <w:pPr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4"/>
                <w:szCs w:val="14"/>
              </w:rPr>
              <w:t>100점 만점</w:t>
            </w:r>
          </w:p>
        </w:tc>
        <w:tc>
          <w:tcPr>
            <w:tcW w:w="2086" w:type="dxa"/>
            <w:tcBorders>
              <w:top w:val="single" w:sz="12" w:space="0" w:color="1F3350"/>
              <w:left w:val="single" w:sz="6" w:space="0" w:color="FFFFFF"/>
              <w:bottom w:val="none"/>
              <w:right w:val="single" w:sz="6" w:space="0" w:color="FFFFFF"/>
            </w:tcBorders>
            <w:shd w:val="clear" w:color="auto" w:fill="F4F5F8"/>
            <w:tcMar>
              <w:top w:w="110" w:type="dxa"/>
              <w:left w:w="130" w:type="dxa"/>
              <w:bottom w:w="120" w:type="dxa"/>
              <w:right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5B6274"/>
                <w:sz w:val="13"/>
                <w:szCs w:val="13"/>
              </w:rPr>
              <w:t>문항 배점</w:t>
            </w:r>
          </w:p>
          <w:p>
            <w:pPr>
              <w:spacing w:after="0" w:before="4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>3.7 ~ 4.8점</w:t>
            </w:r>
          </w:p>
          <w:p>
            <w:pPr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4"/>
                <w:szCs w:val="14"/>
              </w:rPr>
              <w:t>0.1점 단위 차등</w:t>
            </w:r>
          </w:p>
        </w:tc>
        <w:tc>
          <w:tcPr>
            <w:tcW w:w="2086" w:type="dxa"/>
            <w:tcBorders>
              <w:top w:val="single" w:sz="12" w:space="0" w:color="1F3350"/>
              <w:left w:val="single" w:sz="6" w:space="0" w:color="FFFFFF"/>
              <w:bottom w:val="none"/>
              <w:right w:val="single" w:sz="6" w:space="0" w:color="FFFFFF"/>
            </w:tcBorders>
            <w:shd w:val="clear" w:color="auto" w:fill="F4F5F8"/>
            <w:tcMar>
              <w:top w:w="110" w:type="dxa"/>
              <w:left w:w="130" w:type="dxa"/>
              <w:bottom w:w="120" w:type="dxa"/>
              <w:right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5B6274"/>
                <w:sz w:val="13"/>
                <w:szCs w:val="13"/>
              </w:rPr>
              <w:t>보기 제시</w:t>
            </w:r>
          </w:p>
          <w:p>
            <w:pPr>
              <w:spacing w:after="0" w:before="4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>22문항</w:t>
            </w:r>
          </w:p>
          <w:p>
            <w:pPr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4"/>
                <w:szCs w:val="14"/>
              </w:rPr>
              <w:t>전체의 96%</w:t>
            </w:r>
          </w:p>
        </w:tc>
        <w:tc>
          <w:tcPr>
            <w:tcW w:w="2086" w:type="dxa"/>
            <w:tcBorders>
              <w:top w:val="single" w:sz="12" w:space="0" w:color="1F3350"/>
              <w:left w:val="single" w:sz="6" w:space="0" w:color="FFFFFF"/>
              <w:bottom w:val="none"/>
              <w:right w:val="single" w:sz="6" w:space="0" w:color="FFFFFF"/>
            </w:tcBorders>
            <w:shd w:val="clear" w:color="auto" w:fill="F4F5F8"/>
            <w:tcMar>
              <w:top w:w="110" w:type="dxa"/>
              <w:left w:w="130" w:type="dxa"/>
              <w:bottom w:w="120" w:type="dxa"/>
              <w:right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5B6274"/>
                <w:sz w:val="13"/>
                <w:szCs w:val="13"/>
              </w:rPr>
              <w:t>발문 유형</w:t>
            </w:r>
          </w:p>
          <w:p>
            <w:pPr>
              <w:spacing w:after="0" w:before="4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>긍정 17 : 부정 6</w:t>
            </w:r>
          </w:p>
          <w:p>
            <w:pPr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4"/>
                <w:szCs w:val="14"/>
              </w:rPr>
              <w:t>적절한 것 중심</w:t>
            </w:r>
          </w:p>
        </w:tc>
        <w:tc>
          <w:tcPr>
            <w:tcW w:w="2086" w:type="dxa"/>
            <w:tcBorders>
              <w:top w:val="single" w:sz="12" w:space="0" w:color="1F3350"/>
              <w:left w:val="single" w:sz="6" w:space="0" w:color="FFFFFF"/>
              <w:bottom w:val="none"/>
              <w:right w:val="single" w:sz="6" w:space="0" w:color="FFFFFF"/>
            </w:tcBorders>
            <w:shd w:val="clear" w:color="auto" w:fill="F4F5F8"/>
            <w:tcMar>
              <w:top w:w="110" w:type="dxa"/>
              <w:left w:w="130" w:type="dxa"/>
              <w:bottom w:w="120" w:type="dxa"/>
              <w:right w:w="100" w:type="dxa"/>
            </w:tcMar>
          </w:tcPr>
          <w:p>
            <w:pPr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5B6274"/>
                <w:sz w:val="13"/>
                <w:szCs w:val="13"/>
              </w:rPr>
              <w:t>영역 비중</w:t>
            </w:r>
          </w:p>
          <w:p>
            <w:pPr>
              <w:spacing w:after="0" w:before="4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>음운 8 · 단어 8</w:t>
            </w:r>
          </w:p>
          <w:p>
            <w:pPr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4"/>
                <w:szCs w:val="14"/>
              </w:rPr>
              <w:t>문장 1 · 국어사 6</w:t>
            </w:r>
          </w:p>
        </w:tc>
      </w:tr>
    </w:tbl>
    <w:p>
      <w:pPr>
        <w:spacing w:after="0" w:before="0" w:line="240" w:lineRule="auto"/>
      </w:pPr>
    </w:p>
    <w:tbl>
      <w:tblPr>
        <w:tblW w:w="10430" w:type="dxa"/>
        <w:tblBorders>
          <w:top w:val="none"/>
          <w:left w:val="none"/>
          <w:bottom w:val="none"/>
          <w:right w:val="none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0"/>
      </w:tblGrid>
      <w:tr>
        <w:tc>
          <w:tcPr>
            <w:tcW w:w="10430" w:type="dxa"/>
            <w:tcBorders>
              <w:top w:val="single" w:sz="4" w:space="0" w:color="D3D8E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 w:before="0" w:line="252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5"/>
                <w:szCs w:val="15"/>
              </w:rPr>
              <w:t>영역 구성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 xml:space="preserve">  |  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음운 1~8번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 xml:space="preserve"> › 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단어 9~16번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 xml:space="preserve"> › 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문장 17번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 xml:space="preserve"> › 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국어사 18~23번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 xml:space="preserve">  |  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독서 지문은 단어 형성을 다룬 [9-10] 한 세트뿐이고 나머지 21문항은 모두 독립 보기 문항이다.</w:t>
            </w:r>
          </w:p>
        </w:tc>
      </w:tr>
    </w:tbl>
    <w:p>
      <w:pPr>
        <w:spacing w:after="0" w:before="0" w:line="240" w:lineRule="auto"/>
      </w:pPr>
    </w:p>
    <w:tbl>
      <w:tblPr>
        <w:tblW w:w="10430" w:type="dxa"/>
        <w:tblBorders>
          <w:top w:val="none"/>
          <w:left w:val="none"/>
          <w:bottom w:val="none"/>
          <w:right w:val="none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15"/>
      </w:tblGrid>
      <w:tr>
        <w:tc>
          <w:tcPr>
            <w:tcW w:w="5215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0" w:type="dxa"/>
              <w:bottom w:w="0" w:type="dxa"/>
              <w:right w:w="350" w:type="dxa"/>
            </w:tcMar>
          </w:tcPr>
          <w:p>
            <w:pPr>
              <w:keepNext/>
              <w:spacing w:after="45" w:before="88" w:line="254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  <w:sz w:val="14"/>
                <w:szCs w:val="14"/>
                <w:shd w:val="clear" w:color="auto" w:fill="1F3350"/>
              </w:rPr>
              <w:t xml:space="preserve"> 1 </w:t>
            </w: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 xml:space="preserve">  지문을 두지 않고 보기가 지문 노릇을 한다</w:t>
            </w:r>
          </w:p>
          <w:p>
            <w:pPr>
              <w:jc w:val="both"/>
              <w:spacing w:after="0" w:before="0" w:line="254" w:lineRule="auto"/>
            </w:pPr>
            <w:r>
              <w:rPr>
                <w:rFonts w:ascii="바탕" w:eastAsia="바탕" w:hAnsi="바탕" w:cs="바탕"/>
                <w:b w:val="0"/>
                <w:bCs w:val="0"/>
                <w:color w:val="16181D"/>
                <w:sz w:val="17"/>
                <w:szCs w:val="17"/>
              </w:rPr>
              <w:t>23문항 가운데 22문항에 보기가 붙고, 여러 문항이 딸린 독서 지문은 단어 형성을 다룬 한 세트뿐이다. 개념 설명을 보기에 통째로 넣어 주고 그 자리에서 적용시키므로, 외워 온 지식의 양보다 규칙을 읽고 예에 대입하는 속도가 점수를 가른다.</w:t>
            </w:r>
          </w:p>
          <w:p>
            <w:pPr>
              <w:ind w:left="130"/>
              <w:pBdr>
                <w:left w:val="single" w:sz="12" w:space="5" w:color="9C2B28"/>
              </w:pBdr>
              <w:spacing w:after="0" w:before="55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10번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만 보기 없이 앞의 지문에 기대며, 나머지는 문항마다 필요한 개념을 보기가 직접 공급한다.</w:t>
            </w:r>
          </w:p>
          <w:p>
            <w:pPr>
              <w:keepNext/>
              <w:spacing w:after="45" w:before="88" w:line="254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  <w:sz w:val="14"/>
                <w:szCs w:val="14"/>
                <w:shd w:val="clear" w:color="auto" w:fill="1F3350"/>
              </w:rPr>
              <w:t xml:space="preserve"> 2 </w:t>
            </w: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 xml:space="preserve">  보기를 두 겹으로 쌓아 두 단계로 풀게 한다</w:t>
            </w:r>
          </w:p>
          <w:p>
            <w:pPr>
              <w:jc w:val="both"/>
              <w:spacing w:after="0" w:before="0" w:line="254" w:lineRule="auto"/>
            </w:pPr>
            <w:r>
              <w:rPr>
                <w:rFonts w:ascii="바탕" w:eastAsia="바탕" w:hAnsi="바탕" w:cs="바탕"/>
                <w:b w:val="0"/>
                <w:bCs w:val="0"/>
                <w:color w:val="16181D"/>
                <w:sz w:val="17"/>
                <w:szCs w:val="17"/>
              </w:rPr>
              <w:t>보기 1과 보기 2, 자료와 탐구 과제, 학습 내용과 수업 자료처럼 두 덩이를 겹쳐 주는 문항이 절반을 넘는다. 앞 덩이에서 분류 기준을 읽고 뒤 덩이의 예를 그 기준에 배속하는 두 단계를 모두 통과해야 답이 나온다.</w:t>
            </w:r>
          </w:p>
          <w:p>
            <w:pPr>
              <w:ind w:left="130"/>
              <w:pBdr>
                <w:left w:val="single" w:sz="12" w:space="5" w:color="9C2B28"/>
              </w:pBdr>
              <w:spacing w:after="0" w:before="55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6 11 12 18 19 20 22번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 xml:space="preserve">은 보기를 둘로 나누고, 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7 14 15 21 23번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은 자료와 과제를 따로 제시한다.</w:t>
            </w:r>
          </w:p>
          <w:p>
            <w:pPr>
              <w:keepNext/>
              <w:spacing w:after="45" w:before="88" w:line="254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  <w:sz w:val="14"/>
                <w:szCs w:val="14"/>
                <w:shd w:val="clear" w:color="auto" w:fill="1F3350"/>
              </w:rPr>
              <w:t xml:space="preserve"> 3 </w:t>
            </w: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 xml:space="preserve">  한 선지에 판단 항목을 서너 개씩 묶는다</w:t>
            </w:r>
          </w:p>
          <w:p>
            <w:pPr>
              <w:jc w:val="both"/>
              <w:spacing w:after="0" w:before="0" w:line="254" w:lineRule="auto"/>
            </w:pPr>
            <w:r>
              <w:rPr>
                <w:rFonts w:ascii="바탕" w:eastAsia="바탕" w:hAnsi="바탕" w:cs="바탕"/>
                <w:b w:val="0"/>
                <w:bCs w:val="0"/>
                <w:color w:val="16181D"/>
                <w:sz w:val="17"/>
                <w:szCs w:val="17"/>
              </w:rPr>
              <w:t>7번은 한 선지 안에서 표준 발음, 음운 변동의 종류, 음운 개수의 증감, 음절 유형을 한꺼번에 묻는다. 21번과 23번도 사례와 탐구 결과를 한 줄에 붙여 놓는다. 앞쪽 한두 항목이 맞으면 선지 전체가 참처럼 보이므로 끝까지 확인하지 않으면 걸린다.</w:t>
            </w:r>
          </w:p>
          <w:p>
            <w:pPr>
              <w:ind w:left="130"/>
              <w:pBdr>
                <w:left w:val="single" w:sz="12" w:space="5" w:color="9C2B28"/>
              </w:pBdr>
              <w:spacing w:after="0" w:before="55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7-③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은 표준 발음과 변동의 종류, 음운 개수, 음절 유형 네 항목을 모두 맞게 적은 유일한 선지이다.</w:t>
            </w:r>
          </w:p>
          <w:p>
            <w:pPr>
              <w:keepNext/>
              <w:spacing w:after="45" w:before="88" w:line="254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  <w:sz w:val="14"/>
                <w:szCs w:val="14"/>
                <w:shd w:val="clear" w:color="auto" w:fill="1F3350"/>
              </w:rPr>
              <w:t xml:space="preserve"> 4 </w:t>
            </w: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 xml:space="preserve">  있는 대로 고르기로 부분 점수를 없앤다</w:t>
            </w:r>
          </w:p>
          <w:p>
            <w:pPr>
              <w:jc w:val="both"/>
              <w:spacing w:after="0" w:before="0" w:line="254" w:lineRule="auto"/>
            </w:pPr>
            <w:r>
              <w:rPr>
                <w:rFonts w:ascii="바탕" w:eastAsia="바탕" w:hAnsi="바탕" w:cs="바탕"/>
                <w:b w:val="0"/>
                <w:bCs w:val="0"/>
                <w:color w:val="16181D"/>
                <w:sz w:val="17"/>
                <w:szCs w:val="17"/>
              </w:rPr>
              <w:t>6번, 9번, 19번, 20번, 23번이 여러 진술 가운데 옳은 것을 모두 고르는 형태이며 배점 합계가 22.1점에 이른다. 진술 하나만 잘못 판정해도 조합이 통째로 달라지므로, 한 문항 안에서 서너 번의 판단이 전부 맞아야 점수가 된다.</w:t>
            </w:r>
          </w:p>
          <w:p>
            <w:pPr>
              <w:ind w:left="130"/>
              <w:pBdr>
                <w:left w:val="single" w:sz="12" w:space="5" w:color="9C2B28"/>
              </w:pBdr>
              <w:spacing w:after="0" w:before="55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6번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 xml:space="preserve">은 여섯 진술, 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9번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 xml:space="preserve">과 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19번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 xml:space="preserve">은 다섯 진술, 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20번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 xml:space="preserve">과 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23번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은 네 진술을 놓고 옳은 것을 전부 골라내게 한다.</w:t>
            </w:r>
          </w:p>
        </w:tc>
        <w:tc>
          <w:tcPr>
            <w:tcW w:w="5215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350" w:type="dxa"/>
              <w:bottom w:w="0" w:type="dxa"/>
              <w:right w:w="0" w:type="dxa"/>
            </w:tcMar>
          </w:tcPr>
          <w:p>
            <w:pPr>
              <w:keepNext/>
              <w:spacing w:after="45" w:before="88" w:line="254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  <w:sz w:val="14"/>
                <w:szCs w:val="14"/>
                <w:shd w:val="clear" w:color="auto" w:fill="1F3350"/>
              </w:rPr>
              <w:t xml:space="preserve"> 5 </w:t>
            </w: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 xml:space="preserve">  오답은 기준을 두고 값만 바꿔 끼운다</w:t>
            </w:r>
          </w:p>
          <w:tbl>
            <w:tblPr>
              <w:tblW w:w="4900" w:type="dxa"/>
              <w:tblBorders>
                <w:top w:val="none"/>
                <w:left w:val="none"/>
                <w:bottom w:val="none"/>
                <w:right w:val="none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0"/>
              <w:gridCol w:w="2460"/>
              <w:gridCol w:w="1210"/>
            </w:tblGrid>
            <w:tr>
              <w:trPr>
                <w:tblHeader/>
              </w:trPr>
              <w:tc>
                <w:tcPr>
                  <w:tcW w:w="123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color="auto" w:fill="1F3350"/>
                  <w:tcMar>
                    <w:top w:w="50" w:type="dxa"/>
                    <w:left w:w="120" w:type="dxa"/>
                    <w:bottom w:w="5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FFFFFF"/>
                      <w:sz w:val="13"/>
                      <w:szCs w:val="13"/>
                    </w:rPr>
                    <w:t>유형</w:t>
                  </w:r>
                </w:p>
              </w:tc>
              <w:tc>
                <w:tcPr>
                  <w:tcW w:w="24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color="auto" w:fill="1F3350"/>
                  <w:tcMar>
                    <w:top w:w="50" w:type="dxa"/>
                    <w:left w:w="120" w:type="dxa"/>
                    <w:bottom w:w="5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FFFFFF"/>
                      <w:sz w:val="13"/>
                      <w:szCs w:val="13"/>
                    </w:rPr>
                    <w:t>제조 방식</w:t>
                  </w:r>
                </w:p>
              </w:tc>
              <w:tc>
                <w:tcPr>
                  <w:tcW w:w="121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color="auto" w:fill="1F3350"/>
                  <w:tcMar>
                    <w:top w:w="50" w:type="dxa"/>
                    <w:left w:w="120" w:type="dxa"/>
                    <w:bottom w:w="5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FFFFFF"/>
                      <w:sz w:val="13"/>
                      <w:szCs w:val="13"/>
                    </w:rPr>
                    <w:t>해당 문항</w:t>
                  </w:r>
                </w:p>
              </w:tc>
            </w:tr>
            <w:tr>
              <w:tc>
                <w:tcPr>
                  <w:tcW w:w="123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1F3350"/>
                      <w:sz w:val="15"/>
                      <w:szCs w:val="15"/>
                    </w:rPr>
                    <w:t>방향 뒤집기</w:t>
                  </w:r>
                </w:p>
              </w:tc>
              <w:tc>
                <w:tcPr>
                  <w:tcW w:w="246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바탕" w:eastAsia="바탕" w:hAnsi="바탕" w:cs="바탕"/>
                      <w:b w:val="0"/>
                      <w:bCs w:val="0"/>
                      <w:color w:val="16181D"/>
                      <w:sz w:val="15"/>
                      <w:szCs w:val="15"/>
                    </w:rPr>
                    <w:t>영향을 주는 쪽과 받는 쪽, 바뀌기 전과 후를 반대로 적는다.</w:t>
                  </w:r>
                </w:p>
              </w:tc>
              <w:tc>
                <w:tcPr>
                  <w:tcW w:w="121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4" w:lineRule="auto"/>
                  </w:pPr>
                  <w:r>
                    <w:rPr>
                      <w:rFonts w:ascii="맑은 고딕" w:eastAsia="맑은 고딕" w:hAnsi="맑은 고딕" w:cs="맑은 고딕"/>
                      <w:b w:val="0"/>
                      <w:bCs w:val="0"/>
                      <w:color w:val="9C2B28"/>
                      <w:sz w:val="14"/>
                      <w:szCs w:val="14"/>
                    </w:rPr>
                    <w:t>3-③④⑤</w:t>
                  </w:r>
                </w:p>
              </w:tc>
            </w:tr>
            <w:tr>
              <w:tc>
                <w:tcPr>
                  <w:tcW w:w="123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shd w:val="clear" w:color="auto" w:fill="FAFBFC"/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1F3350"/>
                      <w:sz w:val="15"/>
                      <w:szCs w:val="15"/>
                    </w:rPr>
                    <w:t>명칭 교체</w:t>
                  </w:r>
                </w:p>
              </w:tc>
              <w:tc>
                <w:tcPr>
                  <w:tcW w:w="246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shd w:val="clear" w:color="auto" w:fill="FAFBFC"/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바탕" w:eastAsia="바탕" w:hAnsi="바탕" w:cs="바탕"/>
                      <w:b w:val="0"/>
                      <w:bCs w:val="0"/>
                      <w:color w:val="16181D"/>
                      <w:sz w:val="15"/>
                      <w:szCs w:val="15"/>
                    </w:rPr>
                    <w:t>조음 방법이나 품사, 높임의 종류를 이름만 다른 것으로 바꾼다.</w:t>
                  </w:r>
                </w:p>
              </w:tc>
              <w:tc>
                <w:tcPr>
                  <w:tcW w:w="121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shd w:val="clear" w:color="auto" w:fill="FAFBFC"/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4" w:lineRule="auto"/>
                  </w:pPr>
                  <w:r>
                    <w:rPr>
                      <w:rFonts w:ascii="맑은 고딕" w:eastAsia="맑은 고딕" w:hAnsi="맑은 고딕" w:cs="맑은 고딕"/>
                      <w:b w:val="0"/>
                      <w:bCs w:val="0"/>
                      <w:color w:val="9C2B28"/>
                      <w:sz w:val="14"/>
                      <w:szCs w:val="14"/>
                    </w:rPr>
                    <w:t>3-② 14-④</w:t>
                  </w:r>
                </w:p>
                <w:p>
                  <w:pPr>
                    <w:spacing w:after="0" w:before="0" w:line="244" w:lineRule="auto"/>
                  </w:pPr>
                  <w:r>
                    <w:rPr>
                      <w:rFonts w:ascii="맑은 고딕" w:eastAsia="맑은 고딕" w:hAnsi="맑은 고딕" w:cs="맑은 고딕"/>
                      <w:b w:val="0"/>
                      <w:bCs w:val="0"/>
                      <w:color w:val="9C2B28"/>
                      <w:sz w:val="14"/>
                      <w:szCs w:val="14"/>
                    </w:rPr>
                    <w:t>17-①③⑤</w:t>
                  </w:r>
                </w:p>
              </w:tc>
            </w:tr>
            <w:tr>
              <w:tc>
                <w:tcPr>
                  <w:tcW w:w="123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1F3350"/>
                      <w:sz w:val="15"/>
                      <w:szCs w:val="15"/>
                    </w:rPr>
                    <w:t>칸 배속 오류</w:t>
                  </w:r>
                </w:p>
              </w:tc>
              <w:tc>
                <w:tcPr>
                  <w:tcW w:w="246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바탕" w:eastAsia="바탕" w:hAnsi="바탕" w:cs="바탕"/>
                      <w:b w:val="0"/>
                      <w:bCs w:val="0"/>
                      <w:color w:val="16181D"/>
                      <w:sz w:val="15"/>
                      <w:szCs w:val="15"/>
                    </w:rPr>
                    <w:t>분류 기준은 맞게 두고 예만 다른 칸에 넣는다.</w:t>
                  </w:r>
                </w:p>
              </w:tc>
              <w:tc>
                <w:tcPr>
                  <w:tcW w:w="121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4" w:lineRule="auto"/>
                  </w:pPr>
                  <w:r>
                    <w:rPr>
                      <w:rFonts w:ascii="맑은 고딕" w:eastAsia="맑은 고딕" w:hAnsi="맑은 고딕" w:cs="맑은 고딕"/>
                      <w:b w:val="0"/>
                      <w:bCs w:val="0"/>
                      <w:color w:val="9C2B28"/>
                      <w:sz w:val="14"/>
                      <w:szCs w:val="14"/>
                    </w:rPr>
                    <w:t>4 11 13번</w:t>
                  </w:r>
                </w:p>
              </w:tc>
            </w:tr>
            <w:tr>
              <w:tc>
                <w:tcPr>
                  <w:tcW w:w="123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shd w:val="clear" w:color="auto" w:fill="FAFBFC"/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1F3350"/>
                      <w:sz w:val="15"/>
                      <w:szCs w:val="15"/>
                    </w:rPr>
                    <w:t>개수 조작</w:t>
                  </w:r>
                </w:p>
              </w:tc>
              <w:tc>
                <w:tcPr>
                  <w:tcW w:w="246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shd w:val="clear" w:color="auto" w:fill="FAFBFC"/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바탕" w:eastAsia="바탕" w:hAnsi="바탕" w:cs="바탕"/>
                      <w:b w:val="0"/>
                      <w:bCs w:val="0"/>
                      <w:color w:val="16181D"/>
                      <w:sz w:val="15"/>
                      <w:szCs w:val="15"/>
                    </w:rPr>
                    <w:t>음운의 개수나 음절 유형, 용언의 개수만 틀리게 적는다.</w:t>
                  </w:r>
                </w:p>
              </w:tc>
              <w:tc>
                <w:tcPr>
                  <w:tcW w:w="121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shd w:val="clear" w:color="auto" w:fill="FAFBFC"/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4" w:lineRule="auto"/>
                  </w:pPr>
                  <w:r>
                    <w:rPr>
                      <w:rFonts w:ascii="맑은 고딕" w:eastAsia="맑은 고딕" w:hAnsi="맑은 고딕" w:cs="맑은 고딕"/>
                      <w:b w:val="0"/>
                      <w:bCs w:val="0"/>
                      <w:color w:val="9C2B28"/>
                      <w:sz w:val="14"/>
                      <w:szCs w:val="14"/>
                    </w:rPr>
                    <w:t>7-①②④⑤</w:t>
                  </w:r>
                </w:p>
                <w:p>
                  <w:pPr>
                    <w:spacing w:after="0" w:before="0" w:line="244" w:lineRule="auto"/>
                  </w:pPr>
                  <w:r>
                    <w:rPr>
                      <w:rFonts w:ascii="맑은 고딕" w:eastAsia="맑은 고딕" w:hAnsi="맑은 고딕" w:cs="맑은 고딕"/>
                      <w:b w:val="0"/>
                      <w:bCs w:val="0"/>
                      <w:color w:val="9C2B28"/>
                      <w:sz w:val="14"/>
                      <w:szCs w:val="14"/>
                    </w:rPr>
                    <w:t>15-①</w:t>
                  </w:r>
                </w:p>
              </w:tc>
            </w:tr>
            <w:tr>
              <w:tc>
                <w:tcPr>
                  <w:tcW w:w="123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1F3350"/>
                      <w:sz w:val="15"/>
                      <w:szCs w:val="15"/>
                    </w:rPr>
                    <w:t>범위 확대</w:t>
                  </w:r>
                </w:p>
              </w:tc>
              <w:tc>
                <w:tcPr>
                  <w:tcW w:w="246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8" w:lineRule="auto"/>
                  </w:pPr>
                  <w:r>
                    <w:rPr>
                      <w:rFonts w:ascii="바탕" w:eastAsia="바탕" w:hAnsi="바탕" w:cs="바탕"/>
                      <w:b w:val="0"/>
                      <w:bCs w:val="0"/>
                      <w:color w:val="16181D"/>
                      <w:sz w:val="15"/>
                      <w:szCs w:val="15"/>
                    </w:rPr>
                    <w:t>한쪽 예에만 해당하는 속성을 두 예 모두에 씌운다.</w:t>
                  </w:r>
                </w:p>
              </w:tc>
              <w:tc>
                <w:tcPr>
                  <w:tcW w:w="1210" w:type="dxa"/>
                  <w:tcBorders>
                    <w:top w:val="none"/>
                    <w:left w:val="none"/>
                    <w:bottom w:val="single" w:sz="4" w:space="0" w:color="D3D8E0"/>
                    <w:right w:val="none"/>
                  </w:tcBorders>
                  <w:tcMar>
                    <w:top w:w="45" w:type="dxa"/>
                    <w:left w:w="120" w:type="dxa"/>
                    <w:bottom w:w="45" w:type="dxa"/>
                    <w:right w:w="90" w:type="dxa"/>
                  </w:tcMar>
                </w:tcPr>
                <w:p>
                  <w:pPr>
                    <w:spacing w:after="0" w:before="0" w:line="244" w:lineRule="auto"/>
                  </w:pPr>
                  <w:r>
                    <w:rPr>
                      <w:rFonts w:ascii="맑은 고딕" w:eastAsia="맑은 고딕" w:hAnsi="맑은 고딕" w:cs="맑은 고딕"/>
                      <w:b w:val="0"/>
                      <w:bCs w:val="0"/>
                      <w:color w:val="9C2B28"/>
                      <w:sz w:val="14"/>
                      <w:szCs w:val="14"/>
                    </w:rPr>
                    <w:t>10-④ 12-④</w:t>
                  </w:r>
                </w:p>
              </w:tc>
            </w:tr>
          </w:tbl>
          <w:p>
            <w:pPr>
              <w:ind w:left="130"/>
              <w:pBdr>
                <w:left w:val="single" w:sz="12" w:space="5" w:color="9C2B28"/>
              </w:pBdr>
              <w:spacing w:after="0" w:before="55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10-④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 xml:space="preserve">는 민물고기가 합성어인데도 울음보와 묶어 파생어라 하고, </w:t>
            </w: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5"/>
                <w:szCs w:val="15"/>
              </w:rPr>
              <w:t>12-④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5"/>
                <w:szCs w:val="15"/>
              </w:rPr>
              <w:t>는 듣는 이를 포함하지 않는 우리에 포함한다는 말을 덧붙인다.</w:t>
            </w:r>
          </w:p>
          <w:p>
            <w:pPr>
              <w:keepNext/>
              <w:spacing w:after="45" w:before="88" w:line="254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  <w:sz w:val="14"/>
                <w:szCs w:val="14"/>
                <w:shd w:val="clear" w:color="auto" w:fill="1F3350"/>
              </w:rPr>
              <w:t xml:space="preserve"> 6 </w:t>
            </w: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9"/>
                <w:szCs w:val="19"/>
              </w:rPr>
              <w:t xml:space="preserve">  국어사는 반드시 현대 국어와 짝지어 묻는다</w:t>
            </w:r>
          </w:p>
          <w:p>
            <w:pPr>
              <w:jc w:val="both"/>
              <w:spacing w:after="0" w:before="0" w:line="254" w:lineRule="auto"/>
            </w:pPr>
            <w:r>
              <w:rPr>
                <w:rFonts w:ascii="바탕" w:eastAsia="바탕" w:hAnsi="바탕" w:cs="바탕"/>
                <w:b w:val="0"/>
                <w:bCs w:val="0"/>
                <w:color w:val="16181D"/>
                <w:sz w:val="17"/>
                <w:szCs w:val="17"/>
              </w:rPr>
              <w:t>18번부터 23번까지 여섯 문항은 중세 국어를 단독으로 묻지 않는다. 19번은 15세기 어간 교체를 현대의 불규칙 활용과 이어 붙이고, 22번은 중세 결합형과 현대 대응형을 한 표에 나란히 놓으며, 23번은 체언 끝소리 환경에 따른 주격 조사의 실현을 따지게 한다. 중세 국어 자료만 외워서는 풀리지 않고 현대 문법 개념이 함께 서 있어야 한다.</w:t>
            </w:r>
          </w:p>
          <w:p>
            <w:pPr>
              <w:spacing w:after="0" w:before="0" w:line="240" w:lineRule="auto"/>
            </w:pPr>
          </w:p>
          <w:tbl>
            <w:tblPr>
              <w:tblW w:w="4915" w:type="dxa"/>
              <w:tblBorders>
                <w:top w:val="none"/>
                <w:left w:val="none"/>
                <w:bottom w:val="none"/>
                <w:right w:val="none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15"/>
            </w:tblGrid>
            <w:tr>
              <w:tc>
                <w:tcPr>
                  <w:tcW w:w="4915" w:type="dxa"/>
                  <w:tcBorders>
                    <w:top w:val="none"/>
                    <w:left w:val="single" w:sz="18" w:space="0" w:color="9C2B28"/>
                    <w:bottom w:val="none"/>
                    <w:right w:val="none"/>
                  </w:tcBorders>
                  <w:shd w:val="clear" w:color="auto" w:fill="F4F5F8"/>
                  <w:tcMar>
                    <w:top w:w="85" w:type="dxa"/>
                    <w:left w:w="170" w:type="dxa"/>
                    <w:bottom w:w="90" w:type="dxa"/>
                    <w:right w:w="150" w:type="dxa"/>
                  </w:tcMar>
                </w:tcPr>
                <w:p>
                  <w:pPr>
                    <w:spacing w:after="80" w:before="0" w:line="248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1F3350"/>
                      <w:sz w:val="17"/>
                      <w:szCs w:val="17"/>
                    </w:rPr>
                    <w:t>기말 고사 대비 지침</w:t>
                  </w:r>
                </w:p>
                <w:p>
                  <w:pPr>
                    <w:ind w:left="230" w:hanging="230"/>
                    <w:spacing w:after="0" w:before="32" w:line="240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9C2B28"/>
                      <w:sz w:val="15"/>
                      <w:szCs w:val="15"/>
                    </w:rPr>
                    <w:t xml:space="preserve">❶ </w:t>
                  </w:r>
                  <w:r>
                    <w:rPr>
                      <w:rFonts w:ascii="바탕" w:eastAsia="바탕" w:hAnsi="바탕" w:cs="바탕"/>
                      <w:b w:val="0"/>
                      <w:bCs w:val="0"/>
                      <w:color w:val="16181D"/>
                      <w:sz w:val="16"/>
                      <w:szCs w:val="16"/>
                    </w:rPr>
                    <w:t>보기의 분류 기준을 먼저 표로 옮겨 적고 예를 한 칸씩 넣어 본다.</w:t>
                  </w:r>
                </w:p>
                <w:p>
                  <w:pPr>
                    <w:ind w:left="230" w:hanging="230"/>
                    <w:spacing w:after="0" w:before="32" w:line="240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9C2B28"/>
                      <w:sz w:val="15"/>
                      <w:szCs w:val="15"/>
                    </w:rPr>
                    <w:t xml:space="preserve">❷ </w:t>
                  </w:r>
                  <w:r>
                    <w:rPr>
                      <w:lang w:eastAsia="ko-KR"/>
                      <w:rFonts w:ascii="바탕" w:eastAsia="바탕" w:hAnsi="바탕" w:cs="바탕"/>
                      <w:b w:val="0"/>
                      <w:bCs w:val="0"/>
                      <w:color w:val="16181D"/>
                      <w:sz w:val="16"/>
                      <w:szCs w:val="16"/>
                      <w:rtl w:val="off"/>
                    </w:rPr>
                    <w:t>중세 국어의 비중이 높은 만큼 중세국어 공부량도 일정 부분 확보 한다.</w:t>
                  </w:r>
                </w:p>
                <w:p>
                  <w:pPr>
                    <w:ind w:left="230" w:hanging="230"/>
                    <w:spacing w:after="0" w:before="32" w:line="240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9C2B28"/>
                      <w:sz w:val="15"/>
                      <w:szCs w:val="15"/>
                    </w:rPr>
                    <w:t xml:space="preserve">❸ </w:t>
                  </w:r>
                  <w:r>
                    <w:rPr>
                      <w:rFonts w:ascii="바탕" w:eastAsia="바탕" w:hAnsi="바탕" w:cs="바탕"/>
                      <w:b w:val="0"/>
                      <w:bCs w:val="0"/>
                      <w:color w:val="16181D"/>
                      <w:sz w:val="16"/>
                      <w:szCs w:val="16"/>
                    </w:rPr>
                    <w:t>선지에 판단 항목이 여럿이면 항목마다 끊어서 표시하고 하나라도 어긋나면 지운다.</w:t>
                  </w:r>
                </w:p>
                <w:p>
                  <w:pPr>
                    <w:ind w:left="230" w:hanging="230"/>
                    <w:spacing w:after="0" w:before="32" w:line="240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9C2B28"/>
                      <w:sz w:val="15"/>
                      <w:szCs w:val="15"/>
                    </w:rPr>
                    <w:t xml:space="preserve">❹ </w:t>
                  </w:r>
                  <w:r>
                    <w:rPr>
                      <w:rFonts w:ascii="바탕" w:eastAsia="바탕" w:hAnsi="바탕" w:cs="바탕"/>
                      <w:b w:val="0"/>
                      <w:bCs w:val="0"/>
                      <w:color w:val="16181D"/>
                      <w:sz w:val="16"/>
                      <w:szCs w:val="16"/>
                    </w:rPr>
                    <w:t>있는 대로 고르기는 조합을 보기 전에 진술을 하나씩 참과 거짓으로 판정한다.</w:t>
                  </w:r>
                </w:p>
                <w:p>
                  <w:pPr>
                    <w:ind w:left="230" w:hanging="230"/>
                    <w:spacing w:after="0" w:before="32" w:line="240" w:lineRule="auto"/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color w:val="9C2B28"/>
                      <w:sz w:val="15"/>
                      <w:szCs w:val="15"/>
                    </w:rPr>
                    <w:t xml:space="preserve">❺ </w:t>
                  </w:r>
                  <w:r>
                    <w:rPr>
                      <w:rFonts w:ascii="바탕" w:eastAsia="바탕" w:hAnsi="바탕" w:cs="바탕"/>
                      <w:b w:val="0"/>
                      <w:bCs w:val="0"/>
                      <w:color w:val="16181D"/>
                      <w:sz w:val="16"/>
                      <w:szCs w:val="16"/>
                    </w:rPr>
                    <w:t>중세 국어는 현대 국어 대응형과 짝지어 정리한다. 다만 처음 보는 자료가 나올 것을 감안해야 한다.</w:t>
                  </w:r>
                </w:p>
              </w:tc>
            </w:tr>
          </w:tbl>
          <w:p/>
        </w:tc>
      </w:tr>
    </w:tbl>
    <w:p>
      <w:pPr>
        <w:pBdr>
          <w:bottom w:val="single" w:sz="14" w:space="1" w:color="1F3350"/>
        </w:pBdr>
        <w:spacing w:after="0" w:before="80" w:line="240" w:lineRule="auto"/>
      </w:pPr>
    </w:p>
    <w:p>
      <w:pPr>
        <w:tabs>
          <w:tab w:val="right" w:pos="10430"/>
        </w:tabs>
        <w:spacing w:after="55" w:before="90" w:line="240" w:lineRule="auto"/>
      </w:pPr>
      <w:r>
        <w:rPr>
          <w:rFonts w:ascii="맑은 고딕" w:eastAsia="맑은 고딕" w:hAnsi="맑은 고딕" w:cs="맑은 고딕"/>
          <w:b/>
          <w:bCs/>
          <w:color w:val="1F3350"/>
          <w:sz w:val="19"/>
          <w:szCs w:val="19"/>
        </w:rPr>
        <w:t>문항별 유형 지도</w:t>
      </w:r>
      <w:r>
        <w:tab/>
      </w:r>
      <w:r>
        <w:rPr>
          <w:rFonts w:ascii="맑은 고딕" w:eastAsia="맑은 고딕" w:hAnsi="맑은 고딕" w:cs="맑은 고딕"/>
          <w:b/>
          <w:bCs/>
          <w:color w:val="9C2B28"/>
          <w:sz w:val="13"/>
          <w:szCs w:val="13"/>
        </w:rPr>
        <w:t xml:space="preserve">■ </w:t>
      </w:r>
      <w:r>
        <w:rPr>
          <w:rFonts w:ascii="맑은 고딕" w:eastAsia="맑은 고딕" w:hAnsi="맑은 고딕" w:cs="맑은 고딕"/>
          <w:b w:val="0"/>
          <w:bCs w:val="0"/>
          <w:color w:val="5B6274"/>
          <w:sz w:val="13"/>
          <w:szCs w:val="13"/>
        </w:rPr>
        <w:t>붉은 번호는 적절하지 않은 것을 고르는 부정 발문이다. 번호 옆은 정답이다.</w:t>
      </w:r>
    </w:p>
    <w:tbl>
      <w:tblPr>
        <w:tblW w:w="10428" w:type="dxa"/>
        <w:tblBorders>
          <w:top w:val="none"/>
          <w:left w:val="none"/>
          <w:bottom w:val="none"/>
          <w:right w:val="none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1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④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최소 대립쌍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2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①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음운 변동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3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①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비음화 유음화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4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②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된소리되기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5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②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변동 순서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6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③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형태소 경계</w:t>
            </w:r>
          </w:p>
        </w:tc>
      </w:tr>
      <w:tr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7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③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음절 유형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8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⑤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표기 반영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9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①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단어 형성</w:t>
            </w:r>
          </w:p>
        </w:tc>
        <w:tc>
          <w:tcPr>
            <w:tcW w:w="1738" w:type="dxa"/>
            <w:tcBorders>
              <w:top w:val="single" w:sz="10" w:space="0" w:color="9C2B28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7"/>
                <w:szCs w:val="17"/>
              </w:rPr>
              <w:t>10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④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구성 요소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11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③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합성어 분류</w:t>
            </w:r>
          </w:p>
        </w:tc>
        <w:tc>
          <w:tcPr>
            <w:tcW w:w="1738" w:type="dxa"/>
            <w:tcBorders>
              <w:top w:val="single" w:sz="10" w:space="0" w:color="9C2B28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7"/>
                <w:szCs w:val="17"/>
              </w:rPr>
              <w:t>12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④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대명사</w:t>
            </w:r>
          </w:p>
        </w:tc>
      </w:tr>
      <w:tr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13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②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용언 활용</w:t>
            </w:r>
          </w:p>
        </w:tc>
        <w:tc>
          <w:tcPr>
            <w:tcW w:w="1738" w:type="dxa"/>
            <w:tcBorders>
              <w:top w:val="single" w:sz="10" w:space="0" w:color="9C2B28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7"/>
                <w:szCs w:val="17"/>
              </w:rPr>
              <w:t>14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④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관형사 구분</w:t>
            </w:r>
          </w:p>
        </w:tc>
        <w:tc>
          <w:tcPr>
            <w:tcW w:w="1738" w:type="dxa"/>
            <w:tcBorders>
              <w:top w:val="single" w:sz="10" w:space="0" w:color="9C2B28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7"/>
                <w:szCs w:val="17"/>
              </w:rPr>
              <w:t>15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①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보조 용언</w:t>
            </w:r>
          </w:p>
        </w:tc>
        <w:tc>
          <w:tcPr>
            <w:tcW w:w="1738" w:type="dxa"/>
            <w:tcBorders>
              <w:top w:val="single" w:sz="10" w:space="0" w:color="9C2B28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7"/>
                <w:szCs w:val="17"/>
              </w:rPr>
              <w:t>16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①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품사 통용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17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④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높임법</w:t>
            </w:r>
          </w:p>
        </w:tc>
        <w:tc>
          <w:tcPr>
            <w:tcW w:w="1738" w:type="dxa"/>
            <w:tcBorders>
              <w:top w:val="single" w:sz="10" w:space="0" w:color="9C2B28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9C2B28"/>
                <w:sz w:val="17"/>
                <w:szCs w:val="17"/>
              </w:rPr>
              <w:t>18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⑤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차자 표기</w:t>
            </w:r>
          </w:p>
        </w:tc>
      </w:tr>
      <w:tr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19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⑤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어간 교체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20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②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중세 특징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21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③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중세 조사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22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⑤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체언 교체</w:t>
            </w:r>
          </w:p>
        </w:tc>
        <w:tc>
          <w:tcPr>
            <w:tcW w:w="1738" w:type="dxa"/>
            <w:tcBorders>
              <w:top w:val="single" w:sz="10" w:space="0" w:color="1F3350"/>
              <w:left w:val="single" w:sz="4" w:space="0" w:color="D3D8E0"/>
              <w:bottom w:val="single" w:sz="4" w:space="0" w:color="D3D8E0"/>
              <w:right w:val="single" w:sz="4" w:space="0" w:color="D3D8E0"/>
            </w:tcBorders>
            <w:tcMar>
              <w:top w:w="50" w:type="dxa"/>
              <w:left w:w="50" w:type="dxa"/>
              <w:bottom w:w="52" w:type="dxa"/>
              <w:right w:w="50" w:type="dxa"/>
            </w:tcMar>
          </w:tcPr>
          <w:p>
            <w:pPr>
              <w:jc w:val="center"/>
              <w:spacing w:after="0" w:before="0" w:line="240" w:lineRule="auto"/>
            </w:pPr>
            <w:r>
              <w:rPr>
                <w:rFonts w:ascii="맑은 고딕" w:eastAsia="맑은 고딕" w:hAnsi="맑은 고딕" w:cs="맑은 고딕"/>
                <w:b/>
                <w:bCs/>
                <w:color w:val="1F3350"/>
                <w:sz w:val="17"/>
                <w:szCs w:val="17"/>
              </w:rPr>
              <w:t>23</w:t>
            </w:r>
            <w:r>
              <w:rPr>
                <w:rFonts w:ascii="맑은 고딕" w:eastAsia="맑은 고딕" w:hAnsi="맑은 고딕" w:cs="맑은 고딕"/>
                <w:b w:val="0"/>
                <w:bCs w:val="0"/>
                <w:color w:val="16181D"/>
                <w:sz w:val="16"/>
                <w:szCs w:val="16"/>
              </w:rPr>
              <w:t xml:space="preserve"> ②</w:t>
            </w:r>
          </w:p>
          <w:p>
            <w:pPr>
              <w:jc w:val="center"/>
              <w:spacing w:after="0" w:before="30" w:line="240" w:lineRule="auto"/>
            </w:pPr>
            <w:r>
              <w:rPr>
                <w:rFonts w:ascii="맑은 고딕" w:eastAsia="맑은 고딕" w:hAnsi="맑은 고딕" w:cs="맑은 고딕"/>
                <w:b w:val="0"/>
                <w:bCs w:val="0"/>
                <w:color w:val="5B6274"/>
                <w:sz w:val="13"/>
                <w:szCs w:val="13"/>
              </w:rPr>
              <w:t>주격 조사</w:t>
            </w:r>
          </w:p>
        </w:tc>
        <w:tc>
          <w:tcPr>
            <w:tcW w:w="1738" w:type="dxa"/>
            <w:tcBorders>
              <w:top w:val="none"/>
              <w:left w:val="none"/>
              <w:bottom w:val="none"/>
              <w:right w:val="none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pBdr>
          <w:bottom w:val="single" w:sz="4" w:space="1" w:color="D3D8E0"/>
        </w:pBdr>
        <w:spacing w:after="0" w:before="70" w:line="240" w:lineRule="auto"/>
      </w:pPr>
    </w:p>
    <w:p>
      <w:pPr>
        <w:tabs>
          <w:tab w:val="right" w:pos="10430"/>
        </w:tabs>
        <w:spacing w:after="0" w:before="100" w:line="240" w:lineRule="auto"/>
      </w:pPr>
      <w:r>
        <w:rPr>
          <w:rFonts w:ascii="맑은 고딕" w:eastAsia="맑은 고딕" w:hAnsi="맑은 고딕" w:cs="맑은 고딕"/>
          <w:b w:val="0"/>
          <w:bCs w:val="0"/>
          <w:color w:val="5B6274"/>
          <w:sz w:val="13"/>
          <w:szCs w:val="13"/>
        </w:rPr>
        <w:t>죽전고등학교 2학년 화법과 언어 · 2026학년도 2학기 1차 정기시험 문항 분석</w:t>
      </w:r>
      <w:r>
        <w:tab/>
      </w:r>
      <w:r>
        <w:rPr>
          <w:rFonts w:ascii="맑은 고딕" w:eastAsia="맑은 고딕" w:hAnsi="맑은 고딕" w:cs="맑은 고딕"/>
          <w:b w:val="0"/>
          <w:bCs w:val="0"/>
          <w:color w:val="5B6274"/>
          <w:sz w:val="13"/>
          <w:szCs w:val="13"/>
        </w:rPr>
        <w:t>명인학원</w:t>
      </w:r>
    </w:p>
    <w:sectPr>
      <w:pgSz w:w="11906" w:h="16838"/>
      <w:pgMar w:top="567" w:right="737" w:bottom="340" w:left="737" w:header="708" w:footer="708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notTrueType w:val="false"/>
    <w:sig w:usb0="9000002F" w:usb1="29D77CFB" w:usb2="00000012" w:usb3="00000001" w:csb0="00080001" w:csb1="00000001"/>
  </w:font>
  <w:font w:name="바탕">
    <w:panose1 w:val="02030600000101010101"/>
    <w:notTrueType w:val="false"/>
    <w:sig w:usb0="B00002AF" w:usb1="69D77CFB" w:usb2="00000030" w:usb3="00000001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displayBackgroundShape/>
  <w:bordersDontSurroundHeader/>
  <w:bordersDontSurroundFooter/>
  <w:hideGrammaticalErrors/>
  <w:proofState w:spelling="clean" w:grammar="clean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맑은 고딕"/>
        <w:color w:val="16181D"/>
        <w:sz w:val="17"/>
        <w:szCs w:val="17"/>
      </w:rPr>
    </w:rPrDefault>
    <w:pPrDefault>
      <w:pPr>
        <w:autoSpaceDE w:val="off"/>
        <w:autoSpaceDN w:val="off"/>
        <w:kinsoku/>
        <w:overflowPunct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styleId="Title">
    <w:name w:val="Title"/>
    <w:next w:val="Title"/>
    <w:qFormat/>
    <w:rPr>
      <w:sz w:val="56"/>
      <w:szCs w:val="56"/>
    </w:rPr>
  </w:style>
  <w:style w:type="paragraph" w:customStyle="1" w:styleId="Heading1">
    <w:name w:val="Heading 1"/>
    <w:next w:val="Title"/>
    <w:qFormat/>
    <w:rPr>
      <w:color w:val="2E74B5"/>
      <w:sz w:val="32"/>
      <w:szCs w:val="32"/>
    </w:rPr>
  </w:style>
  <w:style w:type="paragraph" w:customStyle="1" w:styleId="Heading2">
    <w:name w:val="Heading 2"/>
    <w:next w:val="Title"/>
    <w:qFormat/>
    <w:rPr>
      <w:color w:val="2E74B5"/>
      <w:sz w:val="26"/>
      <w:szCs w:val="26"/>
    </w:rPr>
  </w:style>
  <w:style w:type="paragraph" w:customStyle="1" w:styleId="Heading3">
    <w:name w:val="Heading 3"/>
    <w:next w:val="Title"/>
    <w:qFormat/>
    <w:rPr>
      <w:color w:val="1F4D78"/>
      <w:sz w:val="24"/>
      <w:szCs w:val="24"/>
    </w:rPr>
  </w:style>
  <w:style w:type="paragraph" w:customStyle="1" w:styleId="Heading4">
    <w:name w:val="Heading 4"/>
    <w:next w:val="Title"/>
    <w:qFormat/>
    <w:rPr>
      <w:i/>
      <w:iCs/>
      <w:color w:val="2E74B5"/>
    </w:rPr>
  </w:style>
  <w:style w:type="paragraph" w:customStyle="1" w:styleId="Heading5">
    <w:name w:val="Heading 5"/>
    <w:next w:val="Title"/>
    <w:qFormat/>
    <w:rPr>
      <w:color w:val="2E74B5"/>
    </w:rPr>
  </w:style>
  <w:style w:type="paragraph" w:customStyle="1" w:styleId="Heading6">
    <w:name w:val="Heading 6"/>
    <w:next w:val="Title"/>
    <w:qFormat/>
    <w:rPr>
      <w:color w:val="1F4D78"/>
    </w:rPr>
  </w:style>
  <w:style w:type="paragraph" w:styleId="Strong">
    <w:name w:val="Strong"/>
    <w:next w:val="Title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auto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uiPriority w:val="99"/>
    <w:link w:val="FootnoteTextChar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uiPriority w:val="99"/>
    <w:link w:val="FootnoteText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uiPriority w:val="99"/>
    <w:link w:val="EndnoteTextChar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uiPriority w:val="99"/>
    <w:link w:val="EndnoteText"/>
    <w:semiHidden/>
    <w:unhideWhenUsed/>
    <w:rPr>
      <w:sz w:val="20"/>
      <w:szCs w:val="2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문항 출제 방식 분석</dc:title>
  <dc:subject/>
  <dc:creator>명인학원</dc:creator>
  <cp:keywords/>
  <dc:description/>
  <cp:lastModifiedBy>9800X3D</cp:lastModifiedBy>
  <cp:revision>1</cp:revision>
  <dcterms:modified xsi:type="dcterms:W3CDTF">2026-09-19T23:46:02Z</dcterms:modified>
  <cp:version>1200.0100.01</cp:version>
</cp:coreProperties>
</file>